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4" w:after="0"/>
        <w:ind w:left="1" w:right="163" w:hanging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</w:r>
    </w:p>
    <w:p>
      <w:pPr>
        <w:pStyle w:val="Normal"/>
        <w:spacing w:before="14" w:after="0"/>
        <w:ind w:left="1" w:right="163" w:hanging="1"/>
        <w:jc w:val="center"/>
        <w:rPr>
          <w:b/>
          <w:sz w:val="30"/>
          <w:szCs w:val="30"/>
        </w:rPr>
      </w:pPr>
      <w:r>
        <w:rPr>
          <w:b/>
          <w:sz w:val="30"/>
          <w:szCs w:val="30"/>
          <w:lang w:val="ru-RU"/>
        </w:rPr>
        <w:t>ТЕХНИЧЕСК</w:t>
      </w:r>
      <w:r>
        <w:rPr>
          <w:b/>
          <w:sz w:val="30"/>
          <w:szCs w:val="30"/>
          <w:lang w:val="en-US"/>
        </w:rPr>
        <w:t>О</w:t>
      </w:r>
      <w:r>
        <w:rPr>
          <w:b/>
          <w:sz w:val="30"/>
          <w:szCs w:val="30"/>
          <w:lang w:val="ru-RU"/>
        </w:rPr>
        <w:t>Е</w:t>
      </w:r>
      <w:r>
        <w:rPr>
          <w:b/>
          <w:sz w:val="30"/>
          <w:szCs w:val="30"/>
        </w:rPr>
        <w:t xml:space="preserve"> ЗАДАНИЕ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contextualSpacing/>
        <w:jc w:val="center"/>
        <w:rPr>
          <w:b/>
          <w:szCs w:val="26"/>
        </w:rPr>
      </w:pPr>
      <w:r>
        <w:rPr>
          <w:b/>
          <w:szCs w:val="26"/>
        </w:rPr>
        <w:t>ОКПД2 42.22.12.121. Выполнение проектных и строительно-монтажных работ по реконструкции цепей ТН 35 кВ на ПС 110 кВ А в рамках инвестиционного проекта (L_25-ПЭС-1668 M)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contextualSpacing/>
        <w:jc w:val="center"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left="720" w:hanging="11"/>
        <w:contextualSpacing/>
        <w:rPr>
          <w:b/>
          <w:szCs w:val="26"/>
        </w:rPr>
      </w:pPr>
      <w:r>
        <w:rPr>
          <w:b/>
          <w:szCs w:val="26"/>
        </w:rPr>
        <w:t>1. Основание для проектирования: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>1.1. Инвестиционная программа 2024 г: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>1.1.1. L_25-ПЭС-1668 M «</w:t>
      </w:r>
      <w:r>
        <w:rPr>
          <w:sz w:val="24"/>
          <w:szCs w:val="24"/>
        </w:rPr>
        <w:t>Реконструкция  ВЛ 35 кВ А - З с отп. на ПС Соллерс, ПС Луговая №1 № 2 с переводом в кабельное исполнение - 8,035 км (МиРЭК), демонтаж старой линии - 1 комплект».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1.2. Выполнение </w:t>
      </w:r>
      <w:r>
        <w:rPr>
          <w:bCs/>
          <w:iCs/>
          <w:sz w:val="24"/>
          <w:szCs w:val="24"/>
        </w:rPr>
        <w:t>реконструкции ВЛ 35 кВ А - З с отп. на ПС Соллерс, ПС Луговая№1,2 с переходом в кабельное исполнение в рамках программы «МиРЭК»</w:t>
      </w:r>
      <w:r>
        <w:rPr>
          <w:szCs w:val="26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b/>
          <w:szCs w:val="26"/>
        </w:rPr>
        <w:t>2. Основные нормативно-технические документы (НТД), определяющие требования к рабочему проекту: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>2.1. Вся рабочая документация разрабатывается в соответствии с национальными, отраслевыми и корпоративными (ПАО «РусГидро») нормативно-техническими документами.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>2.2. Нормативно-технические документы (НТД), определяющие требования к оформлению и содержанию проекта: Федеральные НТД: 1520-66-2021-ТЗ2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 (с изменениями на 9 апреля 2021 года);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Градостроительный кодекс Российской Федерации;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Федеральный закон от 30.12.2009 № 384-ФЗ «Технический регламент о безопасности зданий и сооружений» (с изменениями на 2 июля 2013 года);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Федеральный закон от 10.01.2002 № 7-ФЗ «Об охране</w:t>
      </w:r>
    </w:p>
    <w:p>
      <w:pPr>
        <w:pStyle w:val="Normal"/>
        <w:widowControl w:val="false"/>
        <w:spacing w:before="60" w:after="0"/>
        <w:contextualSpacing/>
        <w:rPr>
          <w:szCs w:val="26"/>
        </w:rPr>
      </w:pPr>
      <w:r>
        <w:rPr>
          <w:szCs w:val="26"/>
        </w:rPr>
        <w:t>окружающей среды»;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документации".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>Отраслевые НТД: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ПУЭ;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ПТЭ;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Правила по охране труда при эксплуатации электроустановок (утв. приказом Минтруда России от 15.12.2020 №903н);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Методические рекомендации по проектированию развития энергосистем, утв. приказом Минэнерго России от30.06.2003 № 281;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СТО 56947007-29.240.10.248-2017 Нормы технологического проектирования ПС переменного тока с высшим напряжением 35-750 кВ (НТП ПС) утверждённые Приказом ПАО «ФСК ЕЭС» от 25.08.2017 №343;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Правила технологического функционирования электроэнергетических систем, утверждённые постановлением Правительства РФ от 13.08.2018 № 937 (ред. от 30.01.2021);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РД 34.20.116-93. Методические указания по защите вторичных цепей электростанций и подстанций от импульсных помех;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СП 47.13330.2016 Инженерные изыскания для строительства. Основные положения (с изменениями);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СНиП 12-03-2001 «Безопасность труда в строительстве;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обитания", утверждённые постановлением Главного государственного санитарного врача Российской Федерации от от 28 января 2021 года N 2.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СП 76.13330.2016 «Электротехнические устройства»;1520-66-2021-ТЗ2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 21.301-2014 «Система проектной документации для строительства. Основные требования к оформлению отчетной документации по инженерным изысканиям»;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12.2.007.0-75. «ССБТ. Изделия электротехнические. Общие требования безопасности»;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17516.1-90. «Изделия электротехнические. Общие требования в части стойкости к механическим внешним воздействующим факторам»;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14254-2015 (IEC 60529:2013) "Степени защиты, обеспечиваемые оболочками (Код IP)" (приказ Росстандарта от 10.06.2016 N 604-ст;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12.1.030-81. «ССБТ. Электробезопасность. Защитное заземление, зануление»;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12.1.038-82. «ССБТ. Электробезопасность. Предельно допустимые значения напряжения прикосновения и токов»;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4.148-85 «Система показателей качества. Устройства комплектные низковольтные. Номенклатура показателей»;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27.003-2016 (приказ Росстандарта от 29.03.2017);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Р. 51317.4.1-2000 (МЭК61000-4-1–2000) «Совместимость технических средств электромагнитная. Испытания на помехоустойчивость»;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 50571-4-44-2011 «Электроустановки низковольтные. Часть 4-44. Требования по обеспечению безопасности. Защита от отклонений напряжения и электромагнитных помех»;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13.02.2019 № 101 "Об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автоматики";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13.02.2019 № 97 «Об утверждении требований к каналам связи для функционирования релейной защиты и автоматики»;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10.07.2020 № 546 «Об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г. № 80, от 13 февраля 2019 № 100, от 13 февраля 2019 № 101»;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13.07.2020 № 556 «Об утверждении Правил создания (модернизации) комплексов и устройств релейной защиты и автоматики 1520-66-2021-ТЗ2 в энергосистеме и о внесении изменений в 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автоматики, утвержденные приказом Минэнерго России от 13 февраля 2019 г. № 100»;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16.08.2019 № 858 «Об утверждении Методических указаний по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>технологическому проектированию тепловых электростанций» (Зарегистрировано в Минюсте России 21.04.2020 № 58154);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 8.596-2002 «Государственная система обеспечения единства измерений. Метрологическое обеспечение измерительных систем. Основные положения»;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РД 153-34.0-11.117-2001 «Основные положения. Информационно-измерительные системы. Метрологическое обеспечение»;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ГОСТ Р 57114-2016 «Единая энергетическая система и изолированно работающие энергосистемы. Электроэнергетические системы. Оперативно- диспетчерское управление в электроэнергетике и оперативно-технологическое управление. Термины и определения» (утвержден приказом Росстандарта от 04.10.2016 № 1302-ст);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Приказ Минэнерго России от 09.01.2019 № 2; Стандарты организации ПАО «РусГидро» и АО «СО ЕЭС»: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СТО 59012820.29.020.002-2012 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СТО 56947007-29.240.043-2010 Руководство по обеспечению электромагнитной совместимости вторичного оборудования и систем связи электросетевых объектов; 1520-66-2021-ТЗ2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Типовые проектные решения по релейной защите и автоматике утвержденные приказом ПАО «РусГидро» №643 от 19.08.2020г.;</w:t>
      </w:r>
    </w:p>
    <w:p>
      <w:pPr>
        <w:pStyle w:val="Normal"/>
        <w:widowControl w:val="false"/>
        <w:spacing w:before="60" w:after="0"/>
        <w:ind w:firstLine="708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СТО 59012820.29.020.006-2015 Релейная защита и автоматика. Автономные регистраторы аварийных событий. Нормы и требования;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– </w:t>
      </w:r>
      <w:r>
        <w:rPr>
          <w:szCs w:val="26"/>
        </w:rPr>
        <w:t>Техническая политика Группы РусГидро (Приложение к Протоколу СД от 10.04.2020 (дата проведения 09.04.2020) № 307.).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>- ГОСТ Р 58669— 2019 Национальный стандарт Российской федерации.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 Методические указания по определению времени до насыщения при коротких замыканиях.</w:t>
      </w:r>
    </w:p>
    <w:p>
      <w:pPr>
        <w:pStyle w:val="BodyTextIndent"/>
        <w:widowControl w:val="false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Основное электрооборудование</w:t>
      </w:r>
    </w:p>
    <w:p>
      <w:pPr>
        <w:pStyle w:val="BodyTextIndent"/>
        <w:widowControl w:val="false"/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2.1. Проект реконструкции цепей ТН 35 кВ ПС 110 кВ А предусматривает реконструкцию ОРУ 35 кВ в части прокладки кабелей вторичной коммутации ТН 35 кВ до ОПУ на ОРУ 110 кВ</w:t>
      </w:r>
    </w:p>
    <w:p>
      <w:pPr>
        <w:pStyle w:val="BodyTextIndent"/>
        <w:widowControl w:val="false"/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2.2. Монтаж панели перевода цепей напряжения и контроля изоляции ТН 35 кВ.</w:t>
      </w:r>
    </w:p>
    <w:p>
      <w:pPr>
        <w:pStyle w:val="Normal"/>
        <w:ind w:firstLine="709"/>
        <w:rPr/>
      </w:pPr>
      <w:r>
        <w:rPr>
          <w:szCs w:val="26"/>
        </w:rPr>
        <w:t>2.3. Прокладка кабелей вторичной коммутации от панели перевода цепей напряжения и</w:t>
      </w:r>
      <w:r>
        <w:rPr/>
        <w:t xml:space="preserve"> </w:t>
      </w:r>
      <w:r>
        <w:rPr>
          <w:szCs w:val="26"/>
        </w:rPr>
        <w:t>контроля изоляции ТН 35 кВ  до панели защит КЛ 35 кВ.</w:t>
      </w:r>
    </w:p>
    <w:p>
      <w:pPr>
        <w:pStyle w:val="BodyTextIndent"/>
        <w:widowControl w:val="false"/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2.4. Наладка панели защит КЛ 35 кВ в части работы защит на отключение КЛ 35 кВ при возникновении земли в сети 35 кВ.</w:t>
      </w:r>
    </w:p>
    <w:p>
      <w:pPr>
        <w:pStyle w:val="BodyTextIndent"/>
        <w:widowControl w:val="false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 Главная схема электрических соединений</w:t>
      </w:r>
    </w:p>
    <w:p>
      <w:pPr>
        <w:pStyle w:val="BodyTextIndent"/>
        <w:widowControl w:val="false"/>
        <w:spacing w:before="0" w:after="0"/>
        <w:ind w:left="0"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3.1 Схемы ОРУ 35 ПС 110кВ 110 кВ А 35-9, одна рабочая секционированная выключателем система шин.</w:t>
      </w:r>
    </w:p>
    <w:p>
      <w:pPr>
        <w:pStyle w:val="BodyTextIndent"/>
        <w:widowControl w:val="false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Схема собственных нужд, оперативный ток.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4.1. Собственные нужды подстанций остаются без изменений. Система оперативного тока на ПС 110 кВ А остается без изменений – постоянный оперативный ток 220 В. </w:t>
      </w:r>
    </w:p>
    <w:p>
      <w:pPr>
        <w:pStyle w:val="BodyTextIndent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1080" w:leader="none"/>
        </w:tabs>
        <w:spacing w:before="0" w:after="0"/>
        <w:ind w:left="0" w:firstLine="720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Вторичная система ПС.</w:t>
      </w:r>
    </w:p>
    <w:p>
      <w:pPr>
        <w:pStyle w:val="BodyTextIndent"/>
        <w:widowControl w:val="false"/>
        <w:tabs>
          <w:tab w:val="clear" w:pos="708"/>
          <w:tab w:val="left" w:pos="1080" w:leader="none"/>
        </w:tabs>
        <w:spacing w:before="0" w:after="0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4.1. Устройства релейной защиты КЛ 35 кВ выполнены на базе микропроцессорных терминалов </w:t>
      </w:r>
      <w:r>
        <w:rPr>
          <w:sz w:val="26"/>
          <w:szCs w:val="26"/>
          <w:lang w:val="en-US"/>
        </w:rPr>
        <w:t>SPAC</w:t>
      </w:r>
      <w:r>
        <w:rPr>
          <w:sz w:val="26"/>
          <w:szCs w:val="26"/>
        </w:rPr>
        <w:t xml:space="preserve"> 810, производства АВВ. </w:t>
      </w:r>
    </w:p>
    <w:p>
      <w:pPr>
        <w:pStyle w:val="BodyTextIndent"/>
        <w:widowControl w:val="false"/>
        <w:tabs>
          <w:tab w:val="clear" w:pos="708"/>
          <w:tab w:val="left" w:pos="1080" w:leader="none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Необходимо разработать решения по реконструкции цепей ТН 35 кВ. Проработать цепи вторичной коммутации, необходимые для подключения панели перевода цепей напряжения ТН 35 кВ. Подключение к защитам КЛ 35 кВ и выполнение отключения КЛ 35 кВ при появлении земли в сети 35 кВ. </w:t>
      </w:r>
    </w:p>
    <w:p>
      <w:pPr>
        <w:pStyle w:val="BodyTextIndent"/>
        <w:widowControl w:val="false"/>
        <w:tabs>
          <w:tab w:val="clear" w:pos="708"/>
          <w:tab w:val="left" w:pos="1080" w:leader="none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 Выполнить наладку защит КЛ 35 кВ </w:t>
      </w:r>
      <w:r>
        <w:rPr>
          <w:bCs/>
          <w:iCs/>
          <w:sz w:val="24"/>
          <w:szCs w:val="24"/>
        </w:rPr>
        <w:t xml:space="preserve">А - З с отп. на ПС Соллерс, ПС Луговая №1,2 с учетом отключения при появлении земли в сети 35 кВ. </w:t>
      </w:r>
      <w:r>
        <w:rPr>
          <w:sz w:val="26"/>
          <w:szCs w:val="26"/>
        </w:rPr>
        <w:t xml:space="preserve"> </w:t>
      </w:r>
    </w:p>
    <w:p>
      <w:pPr>
        <w:pStyle w:val="ListParagraph"/>
        <w:widowControl w:val="false"/>
        <w:tabs>
          <w:tab w:val="clear" w:pos="708"/>
          <w:tab w:val="left" w:pos="720" w:leader="none"/>
        </w:tabs>
        <w:rPr>
          <w:rFonts w:ascii="Times New Roman" w:hAnsi="Times New Roman"/>
          <w:b/>
          <w:szCs w:val="26"/>
        </w:rPr>
      </w:pPr>
      <w:r>
        <w:rPr>
          <w:b/>
          <w:szCs w:val="26"/>
        </w:rPr>
        <w:t xml:space="preserve">5. </w:t>
      </w:r>
      <w:r>
        <w:rPr>
          <w:rFonts w:ascii="Times New Roman" w:hAnsi="Times New Roman"/>
          <w:b/>
          <w:szCs w:val="26"/>
        </w:rPr>
        <w:t>Основные характеристики реконструируемых объектов</w:t>
      </w:r>
    </w:p>
    <w:tbl>
      <w:tblPr>
        <w:tblW w:w="94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957"/>
        <w:gridCol w:w="4535"/>
      </w:tblGrid>
      <w:tr>
        <w:trPr>
          <w:trHeight w:val="152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/>
              <w:t>Объект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/>
              <w:t>Присоединения подлежащие реконструкции оборудования РЗА</w:t>
            </w:r>
          </w:p>
        </w:tc>
      </w:tr>
      <w:tr>
        <w:trPr>
          <w:trHeight w:val="152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/>
            </w:pPr>
            <w:r>
              <w:rPr/>
              <w:t>ПС 110 кВ 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КЛ 35 кВ – 2 линий.</w:t>
            </w:r>
          </w:p>
        </w:tc>
      </w:tr>
      <w:tr>
        <w:trPr/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szCs w:val="26"/>
              </w:rPr>
            </w:pPr>
            <w:r>
              <w:rPr>
                <w:szCs w:val="26"/>
              </w:rPr>
              <w:t>Технические требования к оборудованию РЗА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выполнении проектных работ в части реконструкции ПС, необходимо учитывать требования приказа №101 Минэнерго РФ, требования Технической политики группы РусГидро 2020 к оснащению защитами ЛЭП 110 кВ, силовых трансформаторов 35 кВ и выше, СТО 56947007-29.240.10.248-2017 «Нормы технологического проектирования подстанций переменного тока, с высшим напряжением 35-750 кВ». </w:t>
            </w:r>
            <w:r>
              <w:rPr>
                <w:bCs/>
                <w:sz w:val="24"/>
                <w:szCs w:val="24"/>
              </w:rPr>
              <w:t>РЗА</w:t>
            </w:r>
            <w:r>
              <w:rPr>
                <w:sz w:val="24"/>
                <w:szCs w:val="24"/>
              </w:rPr>
              <w:t xml:space="preserve">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 Устройства РЗА выполнить на микропроцессорной базе. Необходимость, достаточность определить проектом. Тип и марку согласовать с заказчиком. 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left="720" w:hanging="0"/>
        <w:contextualSpacing/>
        <w:rPr>
          <w:b/>
          <w:szCs w:val="26"/>
        </w:rPr>
      </w:pPr>
      <w:r>
        <w:rPr>
          <w:b/>
          <w:szCs w:val="26"/>
        </w:rPr>
        <w:t>6. Состав работ: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  <w:t xml:space="preserve">6.1. </w:t>
      </w:r>
      <w:r>
        <w:rPr>
          <w:b/>
          <w:szCs w:val="26"/>
          <w:lang w:val="en-US"/>
        </w:rPr>
        <w:t>I</w:t>
      </w:r>
      <w:r>
        <w:rPr>
          <w:b/>
          <w:szCs w:val="26"/>
        </w:rPr>
        <w:t xml:space="preserve"> этап. Обследование технического состояния ПС, сбор исходных данных</w:t>
      </w:r>
      <w:r>
        <w:rPr>
          <w:b/>
          <w:i/>
          <w:iCs/>
          <w:szCs w:val="26"/>
        </w:rPr>
        <w:t>:</w:t>
      </w:r>
      <w:r>
        <w:rPr/>
        <w:t xml:space="preserve"> </w:t>
      </w:r>
    </w:p>
    <w:p>
      <w:pPr>
        <w:pStyle w:val="Normal"/>
        <w:widowControl w:val="false"/>
        <w:spacing w:before="0" w:after="0"/>
        <w:ind w:firstLine="708"/>
        <w:contextualSpacing/>
        <w:rPr>
          <w:szCs w:val="26"/>
        </w:rPr>
      </w:pPr>
      <w:r>
        <w:rPr>
          <w:szCs w:val="26"/>
        </w:rPr>
        <w:t xml:space="preserve">6.1.1. Выполнить обследование строительных конструкций </w:t>
      </w:r>
      <w:r>
        <w:rPr>
          <w:spacing w:val="-4"/>
          <w:szCs w:val="26"/>
        </w:rPr>
        <w:t xml:space="preserve">существующего оборудования, применяемых для прокладки вторичных цепей, согласно настоящих технических требований. Обследование выполнить </w:t>
      </w:r>
      <w:r>
        <w:rPr>
          <w:szCs w:val="26"/>
        </w:rPr>
        <w:t>методом инструментального контроля с определением прочностных характеристик конструкций, по результатам обследования представить заключение.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  <w:t>6.2.</w:t>
      </w:r>
      <w:r>
        <w:rPr>
          <w:szCs w:val="26"/>
        </w:rPr>
        <w:t xml:space="preserve"> </w:t>
      </w:r>
      <w:r>
        <w:rPr>
          <w:b/>
          <w:szCs w:val="26"/>
          <w:lang w:val="en-US"/>
        </w:rPr>
        <w:t>II</w:t>
      </w:r>
      <w:r>
        <w:rPr>
          <w:b/>
          <w:szCs w:val="26"/>
        </w:rPr>
        <w:t xml:space="preserve"> этап. Разработка рабочей документации</w:t>
      </w:r>
      <w:r>
        <w:rPr>
          <w:szCs w:val="26"/>
        </w:rPr>
        <w:t>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6.2.1. Разработать рабочую документация, обеспечивающую реализацию принятых технических решений по объекту, необходимых для производства строительно-монтажных и пусконаладочных работ.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6.2.2. Разработанную рабочую документацию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  <w:t>6.3.</w:t>
      </w:r>
      <w:r>
        <w:rPr>
          <w:szCs w:val="26"/>
        </w:rPr>
        <w:t xml:space="preserve"> </w:t>
      </w:r>
      <w:r>
        <w:rPr>
          <w:b/>
          <w:szCs w:val="26"/>
          <w:lang w:val="en-US"/>
        </w:rPr>
        <w:t>III</w:t>
      </w:r>
      <w:r>
        <w:rPr>
          <w:b/>
          <w:szCs w:val="26"/>
        </w:rPr>
        <w:t xml:space="preserve"> этап. Выполнение строительно-монтажных и пусконаладочных работ</w:t>
      </w:r>
      <w:r>
        <w:rPr>
          <w:szCs w:val="26"/>
        </w:rPr>
        <w:t>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6.3.1. В соответствии с разработанной и согласованной рабочей документацией, выполнить закупку и монтаж оборудования (кабельной продукции, устройств РЗА (в случае необходимости)) выполнить пусконаладочные работы.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6.3.2. Выполнить корректировку исполнительной документации.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6.3.3. Выполнить опробование устройств </w:t>
      </w:r>
      <w:r>
        <w:rPr>
          <w:szCs w:val="26"/>
          <w:lang w:val="en-US"/>
        </w:rPr>
        <w:t>c</w:t>
      </w:r>
      <w:r>
        <w:rPr>
          <w:szCs w:val="26"/>
        </w:rPr>
        <w:t xml:space="preserve"> действием на отключение, ввод в работу с отражением в журналах РЗА.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spacing w:before="0" w:after="0"/>
        <w:ind w:firstLine="720"/>
        <w:contextualSpacing/>
        <w:rPr>
          <w:b/>
        </w:rPr>
      </w:pPr>
      <w:r>
        <w:rPr>
          <w:b/>
        </w:rPr>
        <w:t>7. Особые условия.</w:t>
      </w:r>
    </w:p>
    <w:p>
      <w:pPr>
        <w:pStyle w:val="Normal"/>
        <w:widowControl w:val="false"/>
        <w:tabs>
          <w:tab w:val="clear" w:pos="708"/>
          <w:tab w:val="left" w:pos="1260" w:leader="none"/>
          <w:tab w:val="left" w:pos="2160" w:leader="none"/>
        </w:tabs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7.1. 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</w:r>
      <w:r>
        <w:rPr>
          <w:i/>
          <w:szCs w:val="26"/>
        </w:rPr>
        <w:t>(расширения)</w:t>
      </w:r>
      <w:r>
        <w:rPr>
          <w:szCs w:val="26"/>
        </w:rPr>
        <w:t xml:space="preserve"> объекта.</w:t>
      </w:r>
    </w:p>
    <w:p>
      <w:pPr>
        <w:pStyle w:val="Normal"/>
        <w:widowControl w:val="false"/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7.2. Разделы проектной документации выполнить в соответствии с </w:t>
      </w:r>
      <w:r>
        <w:rPr>
          <w:spacing w:val="4"/>
          <w:szCs w:val="26"/>
        </w:rPr>
        <w:t>постановлением Правительства РФ от 16.02.2008г. № 87 «О составе разделов проектной документации и требованиях к их содержанию»</w:t>
      </w:r>
      <w:r>
        <w:rPr>
          <w:szCs w:val="26"/>
        </w:rPr>
        <w:t xml:space="preserve"> и ГОСТ Р 21.1101-2013 Основные требования к проектной и рабочей документации.</w:t>
      </w:r>
    </w:p>
    <w:p>
      <w:pPr>
        <w:pStyle w:val="Normal"/>
        <w:widowControl w:val="false"/>
        <w:spacing w:before="0" w:after="0"/>
        <w:ind w:firstLine="708"/>
        <w:contextualSpacing/>
        <w:rPr>
          <w:szCs w:val="26"/>
        </w:rPr>
      </w:pPr>
      <w:r>
        <w:rPr>
          <w:szCs w:val="26"/>
        </w:rPr>
        <w:t xml:space="preserve">7.3. Противопожарные мероприятия выполнить в соответствии с действующими правилами пожарной безопасности для энергетических объектов. </w:t>
      </w:r>
    </w:p>
    <w:p>
      <w:pPr>
        <w:pStyle w:val="Normal"/>
        <w:widowControl w:val="false"/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 xml:space="preserve">7.4. Подрядчик в день завершения работ, указанный в календарном плане, направляет в АО «ДРСК» Акт сдачи-приемки выполненных работ с приложением 4 (четырех) экземпляров ПСД в бумажном виде и 1 экземпляр в электронном виде (на </w:t>
      </w:r>
      <w:r>
        <w:rPr>
          <w:szCs w:val="26"/>
          <w:lang w:val="en-US"/>
        </w:rPr>
        <w:t>CD</w:t>
      </w:r>
      <w:r>
        <w:rPr>
          <w:szCs w:val="26"/>
        </w:rPr>
        <w:t>).</w:t>
      </w:r>
    </w:p>
    <w:p>
      <w:pPr>
        <w:pStyle w:val="Normal"/>
        <w:widowControl w:val="false"/>
        <w:spacing w:before="0" w:after="0"/>
        <w:ind w:firstLine="720"/>
        <w:contextualSpacing/>
        <w:rPr>
          <w:szCs w:val="26"/>
        </w:rPr>
      </w:pPr>
      <w:r>
        <w:rPr>
          <w:szCs w:val="26"/>
        </w:rPr>
        <w:t>7.5. Использование форматов при передаче документации в электронном виде:</w:t>
      </w:r>
    </w:p>
    <w:p>
      <w:pPr>
        <w:pStyle w:val="Normal"/>
        <w:widowControl w:val="false"/>
        <w:spacing w:before="0" w:after="0"/>
        <w:ind w:firstLine="720"/>
        <w:contextualSpacing/>
        <w:rPr>
          <w:szCs w:val="26"/>
        </w:rPr>
      </w:pPr>
      <w:r>
        <w:rPr>
          <w:szCs w:val="26"/>
        </w:rPr>
      </w:r>
    </w:p>
    <w:tbl>
      <w:tblPr>
        <w:tblW w:w="9973" w:type="dxa"/>
        <w:jc w:val="left"/>
        <w:tblInd w:w="4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90"/>
        <w:gridCol w:w="4617"/>
        <w:gridCol w:w="2166"/>
      </w:tblGrid>
      <w:tr>
        <w:trPr>
          <w:trHeight w:val="522" w:hRule="atLeast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Вид документа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Формат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Текстовая часть, описания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Word   </w:t>
            </w:r>
            <w:r>
              <w:rPr/>
              <w:t>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.doc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.pdf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Таблицы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Excel    </w:t>
            </w:r>
            <w:r>
              <w:rPr/>
              <w:t>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.pdf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Базы данных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Excel   </w:t>
            </w:r>
            <w:r>
              <w:rPr/>
              <w:t>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.pdf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Планы, графики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Project    </w:t>
            </w:r>
            <w:r>
              <w:rPr/>
              <w:t>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MS Excel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.mpp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Чертежи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AutoCAD</w:t>
            </w:r>
            <w:r>
              <w:rPr/>
              <w:t xml:space="preserve">    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.dwg</w:t>
            </w:r>
          </w:p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.pdf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Графический материал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Photo Editor    </w:t>
            </w:r>
            <w:r>
              <w:rPr/>
              <w:t>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.jpg</w:t>
            </w:r>
          </w:p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.pdf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Электронный архив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WinRar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lang w:val="en-US"/>
              </w:rPr>
              <w:t>.rar</w:t>
            </w:r>
            <w:r>
              <w:rPr/>
              <w:t xml:space="preserve"> </w:t>
            </w:r>
            <w:r>
              <w:rPr>
                <w:szCs w:val="26"/>
              </w:rPr>
              <w:t>*</w:t>
            </w:r>
          </w:p>
        </w:tc>
      </w:tr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szCs w:val="26"/>
              </w:rPr>
              <w:t>Сметная документация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szCs w:val="26"/>
              </w:rPr>
            </w:pPr>
            <w:r>
              <w:rPr>
                <w:lang w:val="en-US"/>
              </w:rPr>
              <w:t>MS</w:t>
            </w:r>
            <w:r>
              <w:rPr/>
              <w:t xml:space="preserve"> </w:t>
            </w:r>
            <w:r>
              <w:rPr>
                <w:lang w:val="en-US"/>
              </w:rPr>
              <w:t>Excel</w:t>
            </w:r>
            <w:r>
              <w:rPr/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lang w:val="en-US"/>
              </w:rPr>
            </w:pPr>
            <w:r>
              <w:rPr/>
              <w:t>.</w:t>
            </w:r>
            <w:r>
              <w:rPr>
                <w:lang w:val="en-US"/>
              </w:rPr>
              <w:t>gsf</w:t>
            </w:r>
          </w:p>
        </w:tc>
      </w:tr>
    </w:tbl>
    <w:p>
      <w:pPr>
        <w:pStyle w:val="Normal"/>
        <w:widowControl w:val="false"/>
        <w:spacing w:before="0" w:after="0"/>
        <w:contextualSpacing/>
        <w:rPr>
          <w:szCs w:val="26"/>
        </w:rPr>
      </w:pPr>
      <w:r>
        <w:rPr>
          <w:szCs w:val="26"/>
        </w:rPr>
        <w:t xml:space="preserve">           </w:t>
      </w:r>
      <w:r>
        <w:rPr>
          <w:szCs w:val="26"/>
        </w:rPr>
        <w:t>*- материалы каждого тома проекта компоновать в одном файле</w:t>
      </w:r>
    </w:p>
    <w:p>
      <w:pPr>
        <w:pStyle w:val="Normal"/>
        <w:widowControl w:val="false"/>
        <w:spacing w:before="0" w:after="0"/>
        <w:contextualSpacing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spacing w:lineRule="auto" w:line="259" w:before="0" w:after="0"/>
        <w:ind w:firstLine="720"/>
        <w:contextualSpacing/>
        <w:rPr>
          <w:szCs w:val="26"/>
        </w:rPr>
      </w:pPr>
      <w:r>
        <w:rPr>
          <w:szCs w:val="26"/>
        </w:rPr>
        <w:t>7.6.</w:t>
        <w:tab/>
        <w:t>Разработанная проектная и рабочая документация является собственностью Заказчика и передача её третьим лицам без его согласия запрещается.</w:t>
      </w:r>
    </w:p>
    <w:p>
      <w:pPr>
        <w:pStyle w:val="Normal"/>
        <w:widowControl w:val="false"/>
        <w:spacing w:lineRule="auto" w:line="259" w:before="0" w:after="0"/>
        <w:ind w:firstLine="720"/>
        <w:contextualSpacing/>
        <w:rPr>
          <w:szCs w:val="26"/>
        </w:rPr>
      </w:pPr>
      <w:r>
        <w:rPr>
          <w:szCs w:val="26"/>
        </w:rPr>
        <w:t>7.7. Исключительные права на разработанную в рамках договора проектную документацию и на результаты выполнения инженерных изысканий принадлежат Заказчику с момента приемки проектной документации и результатов выполненных инженерных изысканий.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lineRule="auto" w:line="259" w:before="0" w:after="0"/>
        <w:contextualSpacing/>
        <w:rPr>
          <w:szCs w:val="26"/>
        </w:rPr>
      </w:pPr>
      <w:r>
        <w:rPr>
          <w:szCs w:val="26"/>
        </w:rPr>
        <w:tab/>
        <w:t>7.8. Проектная организация и осуществляет от лица Заказчика получение по проекту всех необходимых согласований и заключений, положительного заключения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строительства. Оплата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осуществляется Заказчиком.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7.9. В случае выявления на этапе выполнения строительно-монтажных и пуско-наладочных работ ошибок, допущенных Подрядчиком при выполнении работ, Подрядчик обязуется обеспечить безвозмездную корректировку технических решений с устранением несоответствий. Доработка технических решений не должна приводить к переносу срока ввода в эксплуатацию объекта.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7.</w:t>
      </w:r>
      <w:r>
        <w:rPr>
          <w:szCs w:val="26"/>
          <w:lang w:val="en-US"/>
        </w:rPr>
        <w:t>10</w:t>
      </w:r>
      <w:r>
        <w:rPr>
          <w:szCs w:val="26"/>
        </w:rPr>
        <w:t>. Подрядчик обеспечивает: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- получение всех необходимых согласований, заключений, технических условий;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- внесение изменений в разрабатываемую документацию по требованию Заказчика на всех этапах разработки документации.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  <w:t>8.  Требования к выполнению и оформлению сметных расчетов.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8.1.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8.2. Сметную документацию выполнить в двух уровнях цен с применением базисно-индексного метода.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8.3.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8.4.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8.5.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 России). При этом индексы на строительно-монтажные работы: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8.5.1. Индексы для воздушных и кабельных линий применяются в соответствии с индексами по объектам строительства: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- воздушная прокладка провода с медными жилами;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- воздушная прокладка провода с алюминиевыми жилами;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- подземная прокладка кабеля с медными жилами;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- подземная прокладка кабеля с алюминиевыми жилами.</w:t>
        <w:tab/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8.5.2. Индексы для КТП, ПС применяются в соответствии с индексом «Прочие объекты».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8.6. 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8.7.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8.8. Прогнозная стоимость строительства формируется с учетом индексов-дефляторов Минэкономразвития РФ. 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8.9.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8.10.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>
      <w:pPr>
        <w:pStyle w:val="Normal"/>
        <w:widowControl w:val="false"/>
        <w:tabs>
          <w:tab w:val="clear" w:pos="708"/>
          <w:tab w:val="left" w:pos="720" w:leader="none"/>
          <w:tab w:val="left" w:pos="2340" w:leader="none"/>
          <w:tab w:val="left" w:pos="3060" w:leader="none"/>
          <w:tab w:val="left" w:pos="3240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>8.11. Сметы на проектные работы составлять на основании технических требований (технического задания). Указывать полное наименование нормативного документа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firstLine="720"/>
        <w:rPr>
          <w:szCs w:val="26"/>
        </w:rPr>
      </w:pPr>
      <w:r>
        <w:rPr>
          <w:szCs w:val="26"/>
        </w:rPr>
        <w:t>8.12. Сметная документация принимается к рассмотрению при следующем условии: Сметная стоимость объекта, определенная по разработанной проектной документации, не должна превышать объем финансовых потребностей определенный, в соответствии с приказом Минэнерго России от 17.01.2019 № 10 «Об утверждении укрупненных нормативов цены типовых технологических решений капитального строительства объектов электросетевого хозяйства». Расчет объемов финансовых потребностей (Расчет УНЦ) представить отдельным альбомом с заполнением данных по формам Минэнерго России в электронном виде (Приложение № 3). Дополнительно, в пояснительной записке к сметной документации заполнить сравнительную таблицу относительно объемов финансовых потребностей: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60" w:after="0"/>
        <w:ind w:left="709" w:hanging="0"/>
        <w:contextualSpacing/>
        <w:jc w:val="right"/>
        <w:rPr>
          <w:rFonts w:ascii="Times New Roman" w:hAnsi="Times New Roman" w:eastAsia="Times New Roman"/>
          <w:szCs w:val="26"/>
          <w:lang w:eastAsia="ru-RU"/>
        </w:rPr>
      </w:pPr>
      <w:r>
        <w:rPr>
          <w:rFonts w:eastAsia="Times New Roman" w:ascii="Times New Roman" w:hAnsi="Times New Roman"/>
          <w:szCs w:val="26"/>
          <w:lang w:eastAsia="ru-RU"/>
        </w:rPr>
        <w:t>тыс. руб. с НДС</w:t>
      </w:r>
    </w:p>
    <w:tbl>
      <w:tblPr>
        <w:tblW w:w="1020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85"/>
        <w:gridCol w:w="3190"/>
        <w:gridCol w:w="3826"/>
      </w:tblGrid>
      <w:tr>
        <w:trPr/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Расчет УНЦ  (таблица т6)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ССР по ПСД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Выполнение условия непревышения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0,00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0,00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60" w:after="0"/>
              <w:jc w:val="center"/>
              <w:rPr>
                <w:szCs w:val="26"/>
              </w:rPr>
            </w:pPr>
            <w:r>
              <w:rPr>
                <w:szCs w:val="26"/>
              </w:rPr>
              <w:t>&lt; или = нулю</w:t>
            </w:r>
          </w:p>
        </w:tc>
      </w:tr>
    </w:tbl>
    <w:p>
      <w:pPr>
        <w:pStyle w:val="Normal"/>
        <w:widowControl w:val="false"/>
        <w:spacing w:lineRule="auto" w:line="259"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  <w:t>9. Перечень документов, подтверждающих соответствие Участника закупки установленным требованиям.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9.1. Требование к наличию выписки из реестра членов СРО 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- выполняющих инженерные изыскания;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- выполняющих подготовку проектной документации;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Дата выписок не должна быть старше одного месяца на дату подачи заявки Участника.</w:t>
      </w:r>
    </w:p>
    <w:p>
      <w:pPr>
        <w:pStyle w:val="Normal"/>
        <w:widowControl w:val="false"/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  <w:t>9.2. В составе заявки Участник предоставляет укрупненный сметный расчет в объеме соответствующем, плановой стоимости Заказчика. Сметная стоимость определяется на основании методических указаний по определению сметной стоимости строительства (Приложение № 2 к техническим требованиям).</w:t>
      </w:r>
    </w:p>
    <w:p>
      <w:pPr>
        <w:pStyle w:val="Normal"/>
        <w:widowControl w:val="false"/>
        <w:spacing w:lineRule="auto" w:line="259" w:before="0" w:after="0"/>
        <w:contextualSpacing/>
        <w:rPr>
          <w:b/>
          <w:szCs w:val="26"/>
        </w:rPr>
      </w:pPr>
      <w:r>
        <w:rPr>
          <w:szCs w:val="26"/>
        </w:rPr>
        <w:t xml:space="preserve">          </w:t>
      </w:r>
      <w:r>
        <w:rPr>
          <w:b/>
          <w:szCs w:val="26"/>
        </w:rPr>
        <w:t>10. Заказчик: АО «ДРСК».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  <w:t>11.  Исходные данные для проектирования.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szCs w:val="26"/>
        </w:rPr>
      </w:pPr>
      <w:r>
        <w:rPr>
          <w:szCs w:val="26"/>
        </w:rPr>
        <w:t>Перечень исходных данных, сроки их подготовки и передачи Заказчиком проектной организации определяются договором на разработку проекта и календарным графиком.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  <w:t>12. Срок выполнения работ:</w:t>
      </w:r>
    </w:p>
    <w:p>
      <w:pPr>
        <w:pStyle w:val="Normal"/>
        <w:widowControl w:val="false"/>
        <w:shd w:val="clear" w:color="auto" w:fill="FFFFFF"/>
        <w:spacing w:before="0" w:after="0"/>
        <w:ind w:firstLine="709"/>
        <w:contextualSpacing/>
        <w:rPr>
          <w:szCs w:val="26"/>
        </w:rPr>
      </w:pPr>
      <w:r>
        <w:rPr>
          <w:szCs w:val="26"/>
        </w:rPr>
        <w:t xml:space="preserve">I этап. Обследование технического состояния ПС, сбор исходных данных – </w:t>
      </w:r>
      <w:r>
        <w:rPr>
          <w:szCs w:val="26"/>
          <w:shd w:fill="auto" w:val="clear"/>
        </w:rPr>
        <w:t>в течение 1-го календарного месяца с момента заключения договора;</w:t>
      </w:r>
    </w:p>
    <w:p>
      <w:pPr>
        <w:pStyle w:val="Normal"/>
        <w:widowControl w:val="false"/>
        <w:shd w:val="clear" w:color="auto" w:fill="FFFFFF"/>
        <w:spacing w:before="0" w:after="0"/>
        <w:ind w:firstLine="709"/>
        <w:contextualSpacing/>
        <w:rPr>
          <w:szCs w:val="26"/>
        </w:rPr>
      </w:pPr>
      <w:r>
        <w:rPr>
          <w:szCs w:val="26"/>
          <w:lang w:val="en-US"/>
        </w:rPr>
        <w:t>II</w:t>
      </w:r>
      <w:r>
        <w:rPr>
          <w:szCs w:val="26"/>
        </w:rPr>
        <w:t xml:space="preserve"> этап. Разработка проектной документации – в течение 3-х календарных месяца с момента заключения договора;</w:t>
      </w:r>
    </w:p>
    <w:p>
      <w:pPr>
        <w:pStyle w:val="Normal"/>
        <w:widowControl w:val="false"/>
        <w:shd w:val="clear" w:color="auto" w:fill="FFFFFF"/>
        <w:spacing w:before="0" w:after="0"/>
        <w:ind w:firstLine="709"/>
        <w:contextualSpacing/>
        <w:rPr>
          <w:szCs w:val="26"/>
        </w:rPr>
      </w:pPr>
      <w:r>
        <w:rPr>
          <w:szCs w:val="26"/>
          <w:lang w:val="en-US"/>
        </w:rPr>
        <w:t>III</w:t>
      </w:r>
      <w:r>
        <w:rPr>
          <w:szCs w:val="26"/>
        </w:rPr>
        <w:t xml:space="preserve"> этап. Получение положительного заключения экспертизы проектной документации – </w:t>
      </w:r>
      <w:r>
        <w:rPr>
          <w:szCs w:val="26"/>
          <w:shd w:fill="auto" w:val="clear"/>
        </w:rPr>
        <w:t xml:space="preserve">в течение </w:t>
      </w:r>
      <w:r>
        <w:rPr>
          <w:szCs w:val="26"/>
          <w:shd w:fill="auto" w:val="clear"/>
        </w:rPr>
        <w:t>4</w:t>
      </w:r>
      <w:r>
        <w:rPr>
          <w:szCs w:val="26"/>
          <w:shd w:fill="auto" w:val="clear"/>
        </w:rPr>
        <w:t>-</w:t>
      </w:r>
      <w:r>
        <w:rPr>
          <w:szCs w:val="26"/>
          <w:shd w:fill="auto" w:val="clear"/>
        </w:rPr>
        <w:t>х</w:t>
      </w:r>
      <w:r>
        <w:rPr>
          <w:szCs w:val="26"/>
          <w:shd w:fill="auto" w:val="clear"/>
        </w:rPr>
        <w:t xml:space="preserve"> календарных месяцев с момента заключения договора</w:t>
      </w:r>
      <w:r>
        <w:rPr>
          <w:szCs w:val="26"/>
        </w:rPr>
        <w:t>;</w:t>
      </w:r>
    </w:p>
    <w:p>
      <w:pPr>
        <w:pStyle w:val="Normal"/>
        <w:widowControl w:val="false"/>
        <w:shd w:val="clear" w:color="auto" w:fill="FFFFFF"/>
        <w:spacing w:lineRule="auto" w:line="259"/>
        <w:ind w:firstLine="709"/>
        <w:rPr>
          <w:szCs w:val="26"/>
        </w:rPr>
      </w:pPr>
      <w:r>
        <w:rPr>
          <w:szCs w:val="26"/>
          <w:lang w:val="en-US"/>
        </w:rPr>
        <w:t>IV</w:t>
      </w:r>
      <w:r>
        <w:rPr>
          <w:szCs w:val="26"/>
        </w:rPr>
        <w:t xml:space="preserve"> этап. Разработка рабочей документации – </w:t>
      </w:r>
      <w:r>
        <w:rPr>
          <w:szCs w:val="26"/>
        </w:rPr>
        <w:t>6-ти календарных месяцев</w:t>
      </w:r>
      <w:r>
        <w:rPr>
          <w:szCs w:val="26"/>
          <w:shd w:fill="auto" w:val="clear"/>
        </w:rPr>
        <w:t>;</w:t>
      </w:r>
    </w:p>
    <w:p>
      <w:pPr>
        <w:pStyle w:val="Normal"/>
        <w:widowControl w:val="false"/>
        <w:shd w:val="clear" w:color="auto" w:fill="FFFFFF"/>
        <w:spacing w:lineRule="auto" w:line="259"/>
        <w:ind w:firstLine="709"/>
        <w:rPr>
          <w:lang w:val="en-US"/>
        </w:rPr>
      </w:pPr>
      <w:r>
        <w:rPr>
          <w:lang w:val="en-US"/>
        </w:rPr>
        <w:t xml:space="preserve">V </w:t>
      </w:r>
      <w:r>
        <w:rPr>
          <w:lang w:val="ru-RU"/>
        </w:rPr>
        <w:t>этап. Выполнение строительно-монтажных работ — до 30.11.2024.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89" w:leader="none"/>
        </w:tabs>
        <w:spacing w:lineRule="auto" w:line="259" w:before="0" w:after="0"/>
        <w:ind w:firstLine="720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tabs>
          <w:tab w:val="clear" w:pos="708"/>
          <w:tab w:val="center" w:pos="6111" w:leader="none"/>
        </w:tabs>
        <w:ind w:hanging="0"/>
        <w:rPr/>
      </w:pPr>
      <w:r>
        <w:rPr/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709" w:hanging="0"/>
        <w:contextualSpacing/>
        <w:rPr>
          <w:rFonts w:ascii="Times New Roman" w:hAnsi="Times New Roman"/>
          <w:i/>
          <w:i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8"/>
      <w:numFmt w:val="decimal"/>
      <w:lvlText w:val="%1.%2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4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02457"/>
    <w:pPr>
      <w:widowControl/>
      <w:suppressAutoHyphens w:val="true"/>
      <w:bidi w:val="0"/>
      <w:spacing w:lineRule="auto" w:line="240" w:before="6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rsid w:val="002b19b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кст примечания Знак"/>
    <w:basedOn w:val="DefaultParagraphFont"/>
    <w:link w:val="Annotationtext"/>
    <w:semiHidden/>
    <w:qFormat/>
    <w:rsid w:val="002b19b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>
    <w:name w:val="Символ сноски"/>
    <w:uiPriority w:val="99"/>
    <w:qFormat/>
    <w:rsid w:val="002b19b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c35546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9660c"/>
    <w:rPr>
      <w:sz w:val="16"/>
      <w:szCs w:val="16"/>
    </w:rPr>
  </w:style>
  <w:style w:type="character" w:styleId="Style13" w:customStyle="1">
    <w:name w:val="Тема примечания Знак"/>
    <w:basedOn w:val="Style10"/>
    <w:link w:val="Annotationsubject"/>
    <w:uiPriority w:val="99"/>
    <w:semiHidden/>
    <w:qFormat/>
    <w:rsid w:val="0079660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4" w:customStyle="1">
    <w:name w:val="Текст Знак"/>
    <w:basedOn w:val="DefaultParagraphFont"/>
    <w:link w:val="PlainText"/>
    <w:uiPriority w:val="99"/>
    <w:qFormat/>
    <w:rsid w:val="00124077"/>
    <w:rPr>
      <w:rFonts w:ascii="Calibri" w:hAnsi="Calibri"/>
      <w:szCs w:val="21"/>
    </w:rPr>
  </w:style>
  <w:style w:type="character" w:styleId="Hl" w:customStyle="1">
    <w:name w:val="hl"/>
    <w:basedOn w:val="DefaultParagraphFont"/>
    <w:qFormat/>
    <w:rsid w:val="0062613a"/>
    <w:rPr/>
  </w:style>
  <w:style w:type="character" w:styleId="Hyperlink">
    <w:name w:val="Hyperlink"/>
    <w:basedOn w:val="DefaultParagraphFont"/>
    <w:uiPriority w:val="99"/>
    <w:semiHidden/>
    <w:unhideWhenUsed/>
    <w:rsid w:val="0062613a"/>
    <w:rPr>
      <w:color w:val="0000FF"/>
      <w:u w:val="single"/>
    </w:rPr>
  </w:style>
  <w:style w:type="character" w:styleId="Style15" w:customStyle="1">
    <w:name w:val="Абзац списка Знак"/>
    <w:link w:val="ListParagraph"/>
    <w:uiPriority w:val="34"/>
    <w:qFormat/>
    <w:locked/>
    <w:rsid w:val="00c151cc"/>
    <w:rPr>
      <w:rFonts w:ascii="Calibri" w:hAnsi="Calibri" w:eastAsia="Calibri" w:cs="Times New Roman"/>
      <w:sz w:val="26"/>
    </w:rPr>
  </w:style>
  <w:style w:type="character" w:styleId="Bodytext2" w:customStyle="1">
    <w:name w:val="Body text (2)_"/>
    <w:basedOn w:val="DefaultParagraphFont"/>
    <w:link w:val="Bodytext21"/>
    <w:qFormat/>
    <w:rsid w:val="005e48e1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Heading2" w:customStyle="1">
    <w:name w:val="Heading #2_"/>
    <w:basedOn w:val="DefaultParagraphFont"/>
    <w:link w:val="Heading21"/>
    <w:qFormat/>
    <w:rsid w:val="005e48e1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6" w:customStyle="1">
    <w:name w:val="Основной текст с отступом Знак"/>
    <w:basedOn w:val="DefaultParagraphFont"/>
    <w:uiPriority w:val="99"/>
    <w:semiHidden/>
    <w:qFormat/>
    <w:rsid w:val="004d31dd"/>
    <w:rPr>
      <w:rFonts w:ascii="Times New Roman" w:hAnsi="Times New Roman" w:eastAsia="Times New Roman" w:cs="Times New Roman"/>
      <w:szCs w:val="20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2b19be"/>
    <w:pPr/>
    <w:rPr>
      <w:sz w:val="20"/>
    </w:rPr>
  </w:style>
  <w:style w:type="paragraph" w:styleId="Annotationtext">
    <w:name w:val="annotation text"/>
    <w:basedOn w:val="Normal"/>
    <w:link w:val="Style10"/>
    <w:semiHidden/>
    <w:qFormat/>
    <w:rsid w:val="002b19be"/>
    <w:pPr/>
    <w:rPr>
      <w:sz w:val="20"/>
    </w:rPr>
  </w:style>
  <w:style w:type="paragraph" w:styleId="ListParagraph">
    <w:name w:val="List Paragraph"/>
    <w:basedOn w:val="Normal"/>
    <w:link w:val="Style15"/>
    <w:uiPriority w:val="34"/>
    <w:qFormat/>
    <w:rsid w:val="002b19be"/>
    <w:pPr>
      <w:spacing w:lineRule="auto" w:line="276" w:before="0" w:after="200"/>
      <w:ind w:left="720" w:hanging="0"/>
      <w:contextualSpacing/>
    </w:pPr>
    <w:rPr>
      <w:rFonts w:ascii="Calibri" w:hAnsi="Calibri" w:eastAsia="Calibri"/>
      <w:szCs w:val="22"/>
      <w:lang w:eastAsia="en-US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c35546"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rsid w:val="0079660c"/>
    <w:pPr/>
    <w:rPr>
      <w:b/>
      <w:bCs/>
    </w:rPr>
  </w:style>
  <w:style w:type="paragraph" w:styleId="Revision">
    <w:name w:val="Revision"/>
    <w:uiPriority w:val="99"/>
    <w:semiHidden/>
    <w:qFormat/>
    <w:rsid w:val="00ff6ea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PlainText">
    <w:name w:val="Plain Text"/>
    <w:basedOn w:val="Normal"/>
    <w:link w:val="Style14"/>
    <w:uiPriority w:val="99"/>
    <w:unhideWhenUsed/>
    <w:qFormat/>
    <w:rsid w:val="00124077"/>
    <w:pPr>
      <w:spacing w:before="0" w:after="0"/>
      <w:jc w:val="left"/>
    </w:pPr>
    <w:rPr>
      <w:rFonts w:ascii="Calibri" w:hAnsi="Calibri" w:eastAsia="Calibri" w:cs="" w:cstheme="minorBidi" w:eastAsiaTheme="minorHAnsi"/>
      <w:sz w:val="22"/>
      <w:szCs w:val="21"/>
      <w:lang w:eastAsia="en-US"/>
    </w:rPr>
  </w:style>
  <w:style w:type="paragraph" w:styleId="Bodytext21" w:customStyle="1">
    <w:name w:val="Body text (2)"/>
    <w:basedOn w:val="Normal"/>
    <w:link w:val="Bodytext2"/>
    <w:qFormat/>
    <w:rsid w:val="005e48e1"/>
    <w:pPr>
      <w:widowControl w:val="false"/>
      <w:shd w:val="clear" w:color="auto" w:fill="FFFFFF"/>
      <w:spacing w:lineRule="exact" w:line="322" w:before="0" w:after="0"/>
      <w:jc w:val="left"/>
    </w:pPr>
    <w:rPr>
      <w:sz w:val="28"/>
      <w:szCs w:val="28"/>
      <w:lang w:eastAsia="en-US"/>
    </w:rPr>
  </w:style>
  <w:style w:type="paragraph" w:styleId="Heading21" w:customStyle="1">
    <w:name w:val="Heading #2"/>
    <w:basedOn w:val="Normal"/>
    <w:link w:val="Heading2"/>
    <w:qFormat/>
    <w:rsid w:val="005e48e1"/>
    <w:pPr>
      <w:widowControl w:val="false"/>
      <w:shd w:val="clear" w:color="auto" w:fill="FFFFFF"/>
      <w:spacing w:lineRule="atLeast" w:line="0" w:before="600" w:after="60"/>
      <w:ind w:firstLine="900"/>
      <w:outlineLvl w:val="1"/>
    </w:pPr>
    <w:rPr>
      <w:b/>
      <w:bCs/>
      <w:sz w:val="28"/>
      <w:szCs w:val="28"/>
      <w:lang w:eastAsia="en-US"/>
    </w:rPr>
  </w:style>
  <w:style w:type="paragraph" w:styleId="BodyTextIndent">
    <w:name w:val="Body Text Indent"/>
    <w:basedOn w:val="Normal"/>
    <w:link w:val="Style16"/>
    <w:uiPriority w:val="99"/>
    <w:semiHidden/>
    <w:unhideWhenUsed/>
    <w:rsid w:val="004d31dd"/>
    <w:pPr>
      <w:spacing w:before="60" w:after="120"/>
      <w:ind w:left="283" w:hanging="0"/>
      <w:jc w:val="left"/>
    </w:pPr>
    <w:rPr>
      <w:sz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39"/>
    <w:rsid w:val="007329c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Application>AlterOffice/3.3.0.4$Windows_X86_64 LibreOffice_project/</Application>
  <AppVersion>15.0000</AppVersion>
  <Pages>8</Pages>
  <Words>2581</Words>
  <Characters>18444</Characters>
  <CharactersWithSpaces>20958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2023-10-04T03:04:00Z</dcterms:created>
  <dc:creator>Репин Артем Александрович</dc:creator>
  <dc:description/>
  <dc:language>ru-RU</dc:language>
  <cp:lastModifiedBy/>
  <cp:lastPrinted>2021-07-28T04:26:00Z</cp:lastPrinted>
  <dcterms:modified xsi:type="dcterms:W3CDTF">2024-04-03T13:45:43Z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